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66" w:history="1">
        <w:r>
          <w:rPr>
            <w:rFonts w:ascii="Arial" w:hAnsi="Arial" w:eastAsia="Arial" w:cs="Arial"/>
            <w:color w:val="155CAA"/>
            <w:u w:val="single"/>
          </w:rPr>
          <w:t xml:space="preserve">1 Beijum aanpak knelpunten.gr11.2539516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68" w:history="1">
        <w:r>
          <w:rPr>
            <w:rFonts w:ascii="Arial" w:hAnsi="Arial" w:eastAsia="Arial" w:cs="Arial"/>
            <w:color w:val="155CAA"/>
            <w:u w:val="single"/>
          </w:rPr>
          <w:t xml:space="preserve">2 Herstraattarieven 2011.gr11.2539543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6" w:history="1">
        <w:r>
          <w:rPr>
            <w:rFonts w:ascii="Arial" w:hAnsi="Arial" w:eastAsia="Arial" w:cs="Arial"/>
            <w:color w:val="155CAA"/>
            <w:u w:val="single"/>
          </w:rPr>
          <w:t xml:space="preserve">3 Vervolgvoorstel regeldrukvermindering.gr11.2539688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6" w:history="1">
        <w:r>
          <w:rPr>
            <w:rFonts w:ascii="Arial" w:hAnsi="Arial" w:eastAsia="Arial" w:cs="Arial"/>
            <w:color w:val="155CAA"/>
            <w:u w:val="single"/>
          </w:rPr>
          <w:t xml:space="preserve">4 Voortgang samenwerking Muziekschool en Kunstencentrum.gr11.2533915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66"/>
      <w:r w:rsidRPr="00A448AC">
        <w:rPr>
          <w:rFonts w:ascii="Arial" w:hAnsi="Arial" w:cs="Arial"/>
          <w:b/>
          <w:bCs/>
          <w:color w:val="303F4C"/>
          <w:lang w:val="en-US"/>
        </w:rPr>
        <w:t>Beijum aanpak knelpunten.gr11.2539516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Beijum aanpak knelpunten.gr11.2539516.pdf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68"/>
      <w:r w:rsidRPr="00A448AC">
        <w:rPr>
          <w:rFonts w:ascii="Arial" w:hAnsi="Arial" w:cs="Arial"/>
          <w:b/>
          <w:bCs/>
          <w:color w:val="303F4C"/>
          <w:lang w:val="en-US"/>
        </w:rPr>
        <w:t>Herstraattarieven 2011.gr11.2539543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Herstraattarieven 2011.gr11.2539543.pdf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6"/>
      <w:r w:rsidRPr="00A448AC">
        <w:rPr>
          <w:rFonts w:ascii="Arial" w:hAnsi="Arial" w:cs="Arial"/>
          <w:b/>
          <w:bCs/>
          <w:color w:val="303F4C"/>
          <w:lang w:val="en-US"/>
        </w:rPr>
        <w:t>Vervolgvoorstel regeldrukvermindering.gr11.2539688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Vervolgvoorstel regeldrukvermindering.gr11.2539688.pdf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6"/>
      <w:r w:rsidRPr="00A448AC">
        <w:rPr>
          <w:rFonts w:ascii="Arial" w:hAnsi="Arial" w:cs="Arial"/>
          <w:b/>
          <w:bCs/>
          <w:color w:val="303F4C"/>
          <w:lang w:val="en-US"/>
        </w:rPr>
        <w:t>Voortgang samenwerking Muziekschool en Kunstencentrum.gr11.2533915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samenwerking Muziekschool en Kunstencentrum.gr11.2533915.pdf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Beijum-aanpak-knelpunten-gr11-2539516.pdf" TargetMode="External" /><Relationship Id="rId25" Type="http://schemas.openxmlformats.org/officeDocument/2006/relationships/hyperlink" Target="https://gemeenteraad.groningen.nl//Documenten/Initiatiefvoorstel/Herstraattarieven-2011-gr11-2539543.pdf" TargetMode="External" /><Relationship Id="rId26" Type="http://schemas.openxmlformats.org/officeDocument/2006/relationships/hyperlink" Target="https://gemeenteraad.groningen.nl//Documenten/Initiatiefvoorstel/Vervolgvoorstel-regeldrukvermindering-gr11-2539688.pdf" TargetMode="External" /><Relationship Id="rId27" Type="http://schemas.openxmlformats.org/officeDocument/2006/relationships/hyperlink" Target="https://gemeenteraad.groningen.nl//Documenten/Initiatiefvoorstel/Voortgang-samenwerking-Muziekschool-en-Kunstencentrum-gr11-25339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