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72" w:history="1">
        <w:r>
          <w:rPr>
            <w:rFonts w:ascii="Arial" w:hAnsi="Arial" w:eastAsia="Arial" w:cs="Arial"/>
            <w:color w:val="155CAA"/>
            <w:u w:val="single"/>
          </w:rPr>
          <w:t xml:space="preserve">1 Beleidsregels Horecaterrassen gemeente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72"/>
      <w:r w:rsidRPr="00A448AC">
        <w:rPr>
          <w:rFonts w:ascii="Arial" w:hAnsi="Arial" w:cs="Arial"/>
          <w:b/>
          <w:bCs/>
          <w:color w:val="303F4C"/>
          <w:lang w:val="en-US"/>
        </w:rPr>
        <w:t>Beleidsregels Horecaterrassen gemeente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Horecaterrassen gemeente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Beleidsregels-Horecaterrassen-gemeente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