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Motie_van_de_ChristenUnie_breikbaarheid_UMCG.pdf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de-ChristenUnie-breikbaarheid-UMC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Motie_van_de_Stadspartij_onderzoek_busalternatief.pdf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de-Stadspartij-onderzoek-busalterna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Motie_van_de_Stadspartij_aanbesteding_te_vroeg.pdf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de-Stadspartij-aanbesteding-te-vro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Motie_van_de_Stadspartij_terugvaloptie.pdf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de-Stadspartij-terugvalop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Motie_van_de_Stadspartij_doelstellingen_niet_gehaald.pdf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de-Stadspartij-doelstellingen-niet-gehaa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Motie_van_Student_en_Stad__VVD_en_Stadspartij_behoud_Ramblas.pdf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Student-en-Stad-VVD-en-Stadspartij-behoud-Rambl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Motie_van_Student_en_Stad_fietspad_voor_het_stadhuis.pdf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Student-en-Stad-fietspad-voor-het-stad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Motie_van_ChristenUnie__SP_en_Student_en_Stad_betrokkenheid_Adviesraden.pdf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ChristenUnie-SP-en-Student-en-Stad-betrokkenheid-Adviesra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Motie_van_ChristenUnie_tijdelijke_commissie_Regio_Tram.pdf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ChristenUnie-tijdelijke-commissie-Regio-Tr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Motie_van_Student_en_Stad_hoogte_sportzaal.pdf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Student-en-Stad-hoogte-sportz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88" meta:character-count="958" meta:non-whitespace-character-count="9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