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Motie_2)_Vreemd_aan_de_orde_van_de_dag_van_GroenLinks,_Student_en_Stad,_Partij_voor_de_Dieren_en_Stadspartij,_Wietteelt.pdf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de Partij voor de Dieren, Proportioneel Handhaven, wordt verworpen (voor Partij voor de Dieren, tegen alle overige fracties).pdf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Motie_1__van_PvdA__ChristenUnie__Stadspartij_en_VVD__Gespreide_betaling_OZB__voor_gehele_raad__minus_SP__CDA_en_GroenLinks_..pdf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2-Vreemd-aan-de-orde-van-de-dag-van-GroenLinks-Student-en-Stad-Partij-voor-de-Dieren-en-Stadspartij-Wietteelt.pdf" TargetMode="External" /><Relationship Id="rId26" Type="http://schemas.openxmlformats.org/officeDocument/2006/relationships/hyperlink" Target="https://gemeenteraad.groningen.nl/Documenten/Moties/Motie-1-van-de-Partij-voor-de-Dieren-Proportioneel-Handhaven-wordt-verworpen-voor-Partij-voor-de-Dieren-tegen-alle-overige-fracties.pdf" TargetMode="External" /><Relationship Id="rId27" Type="http://schemas.openxmlformats.org/officeDocument/2006/relationships/hyperlink" Target="https://gemeenteraad.groningen.nl/Documenten/Moties/Motie-1-van-PvdA-ChristenUnie-Stadspartij-en-VVD-Gespreide-betaling-OZB-voor-gehele-raad-minus-SP-CDA-en-GroenLink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