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2) van SP en Stadspartij, Bestendiging taalontwikkeling, wordt verworpen (voor SP, Stadspartij, ChristenUnie,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en-Stadspartij-Bestendiging-taalontwikkeling-wordt-verworpen-voor-SP-Stadspartij-ChristenUnie-Partij-voor-de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1) van Student en Stad en D66, Time-out A-kwartier, wordt verworpen na hoofdelijke stemming (11 voor – alle leden van de fracties S&amp;amp;S en D66 –, 27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udent-en-Stad-en-D66-Time-out-A-kwartier-wordt-verworpen-na-hoofdelijke-stemming-11-voor-alle-leden-van-de-fracties-S-S-en-D66-27-t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76" meta:character-count="475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