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10) van SP Onderzoek aanbesteding thuiszorg wordt verworpen (voor 7, tegen 32).pdf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van-SP-Onderzoek-aanbesteding-thuiszorg-wordt-verworpen-voor-7-tegen-3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9) van SP Koppels cliënten en thuiszorgwerkers wordt verworpen (voor 6, tegen 33).pdf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van-SP-Koppels-clienten-en-thuiszorgwerkers-wordt-verworpen-voor-6-tegen-3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8) van SP Ruimte en rust voor groenrecreatie Hoornsemeer wordt verworpen (voor 7, tegen 32).pdf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31,11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an-SP-Ruimte-en-rust-voor-groenrecreatie-Hoornsemeer-wordt-verworpen-voor-7-tegen-3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7) van SP, Stadspartij, CDA en ChristenUnie De binnenstad bereikbaar voor iedereen wordt verworpen (voor 14, tegen 25).pdf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an-SP-Stadspartij-CDA-en-ChristenUnie-De-binnenstad-bereikbaar-voor-iedereen-wordt-verworpen-voor-14-tegen-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6) van SP, Stadspartij, CDA en ChristenUnie Duidelijkheid is veiligheid voor voetganger en fietser wordt verworpen (voor 17, tegen 22).pdf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an-SP-Stadspartij-CDA-en-ChristenUnie-Duidelijkheid-is-veiligheid-voor-voetganger-en-fietser-wordt-verworpen-voor-17-tegen-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5) 
              <text:s/>
              van SP en Stadspartij De binnenstad is voor iedereen wordt verworpen (voor 11, tegen 28).pdf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SP-en-Stadspartij-De-binnenstad-is-voor-iedereen-wordt-verworpen-voor-11-tegen-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4) van SP Een alternatief met behoud van kwaliteit wordt verworpen (voor 9, tegen 30).pdf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SP-Een-alternatief-met-behoud-van-kwaliteit-wordt-verworpen-voor-9-tegen-3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3) van Student en Stad, ChristenUnie en Stadspartij Fietsrekken binnenstad wordt verworpen (voor 14, tegen 25).pdf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Student-en-Stad-ChristenUnie-en-Stadspartij-Fietsrekken-binnenstad-wordt-verworpen-voor-14-tegen-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2) van CDA en ChristenUnie Effecten nieuwe busroutes onderzoeken wordt verworpen (voor 14, tegen 25).pdf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CDA-en-ChristenUnie-Effecten-nieuwe-busroutes-onderzoeken-wordt-verworpen-voor-14-tegen-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1) van CDA Publiek vervoer gegarandeerd wordt verworpen (voor 16, tegen 23).pdf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35,17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CDA-Publiek-vervoer-gegarandeerd-wordt-verworpen-voor-16-tegen-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40" meta:character-count="1475" meta:non-whitespace-character-count="13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