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4) van VVD en PvdA bestendige, brede vernieuwing onderwijs, wordt aangenomen (voor 23, tegen 14).pdf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VVD-en-PvdA-bestendige-brede-vernieuwing-onderwijs-wordt-aangenomen-voor-23-tegen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3) van CDA, SP, Stadspartij en ChristenUnie betrek docent en ouders bij verdeling onderwijsgeld, wordt aangenomen (voor 37, tegen 0).pdf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P-Stadspartij-en-ChristenUnie-betrek-docent-en-ouders-bij-verdeling-onderwijsgeld-wordt-aangenomen-voor-37-tegen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2) van CDA, SP, Stadspartij en ChristenUnie Programmatische aanpak, wordt verworpen (voor 14, tegen 23).pdf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SP-Stadspartij-en-ChristenUnie-Programmatische-aanpak-wordt-verworpen-voor-14-tegen-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1) van SP, CDA, Stadspartij en ChristenUnie Meetbaar, ook bij de inzet onderwijsgeld, wordt verworpen (voor 14, tegen 23).pdf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P-CDA-Stadspartij-en-ChristenUnie-Meetbaar-ook-bij-de-inzet-onderwijsgeld-wordt-verworpen-voor-14-tegen-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15" meta:character-count="718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