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5) van PvdA, SP, GroenLinks, CDA, Partij voor de Dieren, ChristenUnie en Student en Stad, ‘alle drie kavels kunnen aan een partij gegund worden’,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SP-GroenLinks-CDA-Partij-voor-de-Dieren-ChristenUnie-en-Student-en-Stad-alle-drie-kavels-kunnen-aan-een-partij-gegund-worden-word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4) van SP en 100% Groningen, ‘Onderhandse aanbesteding fietsenbeheer’, wordt verworpen (voor SP en 100% Groningen)..pdf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en-100-Groningen-Onderhandse-aanbesteding-fietsenbeheer-wordt-verworpen-voor-SP-en-100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3) van SP, PvdA, ChristenUnie, 100% Groningen en Stadspartij, ‘Behoud werkgelegenheid beheerders fietsenstallingen’, wordt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P-PvdA-ChristenUnie-100-Groningen-en-Stadspartij-Behoud-werkgelegenheid-beheerders-fietsenstallingen-word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2) van CDA, SP en ChristenUnie, ‘Scenario 3 niet onderzoeken’, wordt (gewijzigd) aangenomen (voor CDA, SP, ChristenUnie, VVD, PvdA, 100% Groningen)..pdf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SP-en-ChristenUnie-Scenario-3-niet-onderzoeken-wordt-gewijzigd-aangenomen-voor-CDA-SP-ChristenUnie-VVD-PvdA-100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1) van 100% Groningen, ‘Ook het stadhuis is niet in beton gegoten’, wordt verworpen (voor 100% Groningen)..pdf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100-Groningen-Ook-het-stadhuis-is-niet-in-beton-gegoten-wordt-verworpen-voor-100-Gr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48" meta:character-count="973" meta:non-whitespace-character-count="8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