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21" w:history="1">
        <w:r>
          <w:rPr>
            <w:rFonts w:ascii="Arial" w:hAnsi="Arial" w:eastAsia="Arial" w:cs="Arial"/>
            <w:color w:val="155CAA"/>
            <w:u w:val="single"/>
          </w:rPr>
          <w:t xml:space="preserve">1 Lijst 17 mei 2023 (ingekomen stukken tot aan raadsvergadering 17-5-2023)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21"/>
      <w:r w:rsidRPr="00A448AC">
        <w:rPr>
          <w:rFonts w:ascii="Arial" w:hAnsi="Arial" w:cs="Arial"/>
          <w:b/>
          <w:bCs/>
          <w:color w:val="303F4C"/>
          <w:lang w:val="en-US"/>
        </w:rPr>
        <w:t>Lijst 17 mei 2023 (ingekomen stukken tot aan raadsvergadering 17-5-2023)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 12:30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ontvangen overige ingekomen stukken tot aan de raadsvergadering van 17 mei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Lijst/Lijst-van-ontvangen-overige-ingekomen-stukken-tot-aan-de-raadsvergadering-van-17-mei-2023-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