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93" w:history="1">
        <w:r>
          <w:rPr>
            <w:rFonts w:ascii="Arial" w:hAnsi="Arial" w:eastAsia="Arial" w:cs="Arial"/>
            <w:color w:val="155CAA"/>
            <w:u w:val="single"/>
          </w:rPr>
          <w:t xml:space="preserve">1 Lijst 20 november 2024 van ingekomen overige ingekomen stukken (tot aan raadsvergadering 20-11-24)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93"/>
      <w:r w:rsidRPr="00A448AC">
        <w:rPr>
          <w:rFonts w:ascii="Arial" w:hAnsi="Arial" w:cs="Arial"/>
          <w:b/>
          <w:bCs/>
          <w:color w:val="303F4C"/>
          <w:lang w:val="en-US"/>
        </w:rPr>
        <w:t>Lijst 20 november 2024 van ingekomen overige ingekomen stukken (tot aan raadsvergadering 20-11-24)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ONTVANGEN OVERIGE INGEKOMEN STUKKEN TOT AAN DE RAADSVERGADERING VAN 20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-VAN-ONTVANGEN-OVERIGE-INGEKOMEN-STUKKEN-TOT-AAN-DE-RAADSVERGADERING-VAN-20-NOVEMBER-2024-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