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96" w:history="1">
        <w:r>
          <w:rPr>
            <w:rFonts w:ascii="Arial" w:hAnsi="Arial" w:eastAsia="Arial" w:cs="Arial"/>
            <w:color w:val="155CAA"/>
            <w:u w:val="single"/>
          </w:rPr>
          <w:t xml:space="preserve">1 Lijst 21 juni 2023 (ingekomen stukken tot aan raadsvergadering 21-6-2023)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96"/>
      <w:r w:rsidRPr="00A448AC">
        <w:rPr>
          <w:rFonts w:ascii="Arial" w:hAnsi="Arial" w:cs="Arial"/>
          <w:b/>
          <w:bCs/>
          <w:color w:val="303F4C"/>
          <w:lang w:val="en-US"/>
        </w:rPr>
        <w:t>Lijst 21 juni 2023 (ingekomen stukken tot aan raadsvergadering 21-6-2023)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 12:59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ontvangen overige ingekomen stukken tot aan de raadsvergadering van 21 juni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Lijst/Lijst-van-ontvangen-overige-ingekomen-stukken-tot-aan-de-raadsvergadering-van-21-juni-2023-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