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1" w:history="1">
        <w:r>
          <w:rPr>
            <w:rFonts w:ascii="Arial" w:hAnsi="Arial" w:eastAsia="Arial" w:cs="Arial"/>
            <w:color w:val="155CAA"/>
            <w:u w:val="single"/>
          </w:rPr>
          <w:t xml:space="preserve">1 Aanpassen regelgeving evenementenaanvragen  wijziging artikel 2 19 APVG 2009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1"/>
      <w:r w:rsidRPr="00A448AC">
        <w:rPr>
          <w:rFonts w:ascii="Arial" w:hAnsi="Arial" w:cs="Arial"/>
          <w:b/>
          <w:bCs/>
          <w:color w:val="303F4C"/>
          <w:lang w:val="en-US"/>
        </w:rPr>
        <w:t>Aanpassen regelgeving evenementenaanvragen  wijziging artikel 2 19 APVG 2009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regelgeving evenementenaanvragen  wijziging artikel 2 19 APVG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en-regelgeving-evenementenaanvragen-wijziging-artikel-2-19-APVG-2009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