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2" w:history="1">
        <w:r>
          <w:rPr>
            <w:rFonts w:ascii="Arial" w:hAnsi="Arial" w:eastAsia="Arial" w:cs="Arial"/>
            <w:color w:val="155CAA"/>
            <w:u w:val="single"/>
          </w:rPr>
          <w:t xml:space="preserve">1 Aanpassing Regeling borgstelling leningen breedtesport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2"/>
      <w:r w:rsidRPr="00A448AC">
        <w:rPr>
          <w:rFonts w:ascii="Arial" w:hAnsi="Arial" w:cs="Arial"/>
          <w:b/>
          <w:bCs/>
          <w:color w:val="303F4C"/>
          <w:lang w:val="en-US"/>
        </w:rPr>
        <w:t>Aanpassing Regeling borgstelling leningen breedtesport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Regeling borgstelling leningen breedtesport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Regeling borgstelling leningen breedtesport gemeente Groningen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anpassing-Regeling-borgstelling-leningen-breedtesport.pdf" TargetMode="External" /><Relationship Id="rId25" Type="http://schemas.openxmlformats.org/officeDocument/2006/relationships/hyperlink" Target="https://gemeenteraad.groningen.nl//Documenten/Bijlage-Regeling-borgstelling-leningen-breedtesport-gemeente-Groninge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