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5" w:history="1">
        <w:r>
          <w:rPr>
            <w:rFonts w:ascii="Arial" w:hAnsi="Arial" w:eastAsia="Arial" w:cs="Arial"/>
            <w:color w:val="155CAA"/>
            <w:u w:val="single"/>
          </w:rPr>
          <w:t xml:space="preserve">1 Aanvullend krediet Stationsgebied Groningen en Herewegviaduct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5"/>
      <w:r w:rsidRPr="00A448AC">
        <w:rPr>
          <w:rFonts w:ascii="Arial" w:hAnsi="Arial" w:cs="Arial"/>
          <w:b/>
          <w:bCs/>
          <w:color w:val="303F4C"/>
          <w:lang w:val="en-US"/>
        </w:rPr>
        <w:t>Aanvullend krediet Stationsgebied Groningen en Herewegviaduct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 krediet Stationsgebied Groningen en Herewegviaduct.pdf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319,19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Aanvullend-krediet-Stationsgebied-Groningen-en-Herewegviaduc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