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" w:history="1">
        <w:r>
          <w:rPr>
            <w:rFonts w:ascii="Arial" w:hAnsi="Arial" w:eastAsia="Arial" w:cs="Arial"/>
            <w:color w:val="155CAA"/>
            <w:u w:val="single"/>
          </w:rPr>
          <w:t xml:space="preserve">1 Activering bovenwijkse voorzieningen uit grondexploitaties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"/>
      <w:r w:rsidRPr="00A448AC">
        <w:rPr>
          <w:rFonts w:ascii="Arial" w:hAnsi="Arial" w:cs="Arial"/>
          <w:b/>
          <w:bCs/>
          <w:color w:val="303F4C"/>
          <w:lang w:val="en-US"/>
        </w:rPr>
        <w:t>Activering bovenwijkse voorzieningen uit grondexploitaties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Activering bovenwijkse voorzieningen uit grondexploitaties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ivering-bovenwijkse-voorzieningen-uit-grondexploitaties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