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83" text:style-name="Internet_20_link" text:visited-style-name="Visited_20_Internet_20_Link">
              <text:span text:style-name="ListLabel_20_28">
                <text:span text:style-name="T8">1 Activiteitenlijst bindend adviesrecht gemeente Groningen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83"/>
        Activiteitenlijst bindend adviesrecht gemeente Groningen 2025
        <text:bookmark-end text:name="148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07-10-2025 14:28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Activiteitenlijst bindend adviesrecht gemeente Groningen 2025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178,69 KB</text:p>
          </table:table-cell>
          <table:table-cell table:style-name="Table4.A2" office:value-type="string">
            <text:p text:style-name="P33">
              <text:a xlink:type="simple" xlink:href="https://gemeenteraad.groningen.nl//Documenten/Activiteitenlijst-bindend-adviesrecht-gemeente-Groningen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Activiteitenlijst bindend adviesrecht - evaluatie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244,49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Activiteitenlijst-bindend-adviesrecht-evalu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Bekendmaktingstekst Activiteitenlijst bindend adviesrecht
              <text:span text:style-name="T3"/>
            </text:p>
            <text:p text:style-name="P7"/>
          </table:table-cell>
          <table:table-cell table:style-name="Table4.A2" office:value-type="string">
            <text:p text:style-name="P8">07-10-2025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Bekendmaktingstekst-Activiteitenlijst-bindend-advies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1" meta:character-count="615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