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22" text:style-name="Internet_20_link" text:visited-style-name="Visited_20_Internet_20_Link">
              <text:span text:style-name="ListLabel_20_28">
                <text:span text:style-name="T8">1 Actualisatie 2025 Routekaart Groningen CO2-neutraal 2035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22"/>
        Actualisatie 2025 Routekaart Groningen CO2-neutraal 2035
        <text:bookmark-end text:name="146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10-04-2025 13:12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2025 Routekaart Groningen CO2-neutraal 2035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501,83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2025-Routekaart-Groningen-CO2-neutraal-203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Routekaart richting 2035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Routekaart-richting-20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Eindrapport consultatie bedrijven en instellingen over herijking Routekaart en EU-missie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Eindrapport-consultatie-bedrijven-en-instellingen-over-herijking-Routekaart-en-EU-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Participatieverslag Routekaart Groningen CO2 neutraal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801,47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Participatieverslag-Routekaart-Groningen-CO2-neutr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8" meta:character-count="698" meta:non-whitespace-character-count="6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