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95" w:history="1">
        <w:r>
          <w:rPr>
            <w:rFonts w:ascii="Arial" w:hAnsi="Arial" w:eastAsia="Arial" w:cs="Arial"/>
            <w:color w:val="155CAA"/>
            <w:u w:val="single"/>
          </w:rPr>
          <w:t xml:space="preserve">1 Addendum Nota Grondbeleid 2017 (actualisatie 2021) n.a.v. Didam-arrest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95"/>
      <w:r w:rsidRPr="00A448AC">
        <w:rPr>
          <w:rFonts w:ascii="Arial" w:hAnsi="Arial" w:cs="Arial"/>
          <w:b/>
          <w:bCs/>
          <w:color w:val="303F4C"/>
          <w:lang w:val="en-US"/>
        </w:rPr>
        <w:t>Addendum Nota Grondbeleid 2017 (actualisatie 2021) n.a.v. Didam-arrest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Nota Grondbeleid 2017 (actualisatie 2021) n.a.v. Didam-arrest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Addendum Nota Grondbeleid 2017 (actualisatie 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Grondbeleid 2017 (actualisatie 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Grondbeleid 2017 (actualisaties 2021 en 2022) (geconsolideerde versie nota)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ddendum-Nota-Grondbeleid-2017-actualisatie-2021-n-a-v-Didam-arrest.pdf" TargetMode="External" /><Relationship Id="rId25" Type="http://schemas.openxmlformats.org/officeDocument/2006/relationships/hyperlink" Target="https://gemeenteraad.groningen.nl//Documenten/Bijlage/Bijlage-1-Addendum-Nota-Grondbeleid-2017-actualisatie-2021.pdf" TargetMode="External" /><Relationship Id="rId26" Type="http://schemas.openxmlformats.org/officeDocument/2006/relationships/hyperlink" Target="https://gemeenteraad.groningen.nl//Documenten/Bijlage/Bijlage-2-Nota-Grondbeleid-2017-actualisatie-2021.pdf" TargetMode="External" /><Relationship Id="rId27" Type="http://schemas.openxmlformats.org/officeDocument/2006/relationships/hyperlink" Target="https://gemeenteraad.groningen.nl//Documenten/Bijlage/Bijlage-3-Nota-Grondbeleid-2017-actualisaties-2021-en-2022-geconsolideerde-versie-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