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4" w:history="1">
        <w:r>
          <w:rPr>
            <w:rFonts w:ascii="Arial" w:hAnsi="Arial" w:eastAsia="Arial" w:cs="Arial"/>
            <w:color w:val="155CAA"/>
            <w:u w:val="single"/>
          </w:rPr>
          <w:t xml:space="preserve">1 Begroting 2015 en jaarrekening 2013 Groninger Archieven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4"/>
      <w:r w:rsidRPr="00A448AC">
        <w:rPr>
          <w:rFonts w:ascii="Arial" w:hAnsi="Arial" w:cs="Arial"/>
          <w:b/>
          <w:bCs/>
          <w:color w:val="303F4C"/>
          <w:lang w:val="en-US"/>
        </w:rPr>
        <w:t>Begroting 2015 en jaarrekening 2013 Groninger Archieven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2015 en jaarrekening 2013 Groninger Archieven.pdf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groting-2015-en-jaarrekening-2013-Groninger-Archiev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