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15:20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555" text:style-name="Internet_20_link" text:visited-style-name="Visited_20_Internet_20_Link">
              <text:span text:style-name="ListLabel_20_28">
                <text:span text:style-name="T8">1 Begrotingswijzigingen 1e kwartaal 2023 VGR I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555"/>
        Begrotingswijzigingen 1e kwartaal 2023 VGR I
        <text:bookmark-end text:name="1355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13-06-2023 15:48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Begrotingswijzigingen 1e kwartaal 2023 VGR I
              <text:span text:style-name="T3"/>
            </text:p>
            <text:p text:style-name="P7"/>
          </table:table-cell>
          <table:table-cell table:style-name="Table4.A2" office:value-type="string">
            <text:p text:style-name="P8">13-06-2023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165,13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Begrotingswijzigingen-1e-kwartaal-2023-VGR-I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bij begrotingswijzigingen 1e kwartaal 2023
              <text:span text:style-name="T3"/>
            </text:p>
            <text:p text:style-name="P7"/>
          </table:table-cell>
          <table:table-cell table:style-name="Table4.A2" office:value-type="string">
            <text:p text:style-name="P8">13-06-2023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337,50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bij-begrotingswijzigingen-1e-kwartaal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8" meta:character-count="457" meta:non-whitespace-character-count="4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1711964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1711964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