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118in" draw:z-index="4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Groningen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02-12-2025 22:07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Raadsvoorstellen</text:p>
          </table:table-cell>
        </table:table-row>
        <table:table-row table:style-name="Table2.2">
          <table:table-cell table:style-name="Table2.A1" office:value-type="string">
            <text:p text:style-name="P11">
              Periode: 2025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5356" text:style-name="Internet_20_link" text:visited-style-name="Visited_20_Internet_20_Link">
              <text:span text:style-name="ListLabel_20_28">
                <text:span text:style-name="T8">1 Begrotingswijzigingen 2e en 3e kwartaal 2015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5356"/>
        Begrotingswijzigingen 2e en 3e kwartaal 2015
        <text:bookmark-end text:name="5356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13-11-2015 00:00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-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Begrotingswijzigingen 2e en 3e kwartaal 2015.pdf
              <text:span text:style-name="T3"/>
            </text:p>
            <text:p text:style-name="P7"/>
          </table:table-cell>
          <table:table-cell table:style-name="Table4.A2" office:value-type="string">
            <text:p text:style-name="P8">13-11-2015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gemeenteraad.groningen.nl//Documenten/Raadsvoorstel/Begrotingswijzigingen-2e-en-3e-kwartaal-2015-3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5" meta:object-count="0" meta:page-count="1" meta:paragraph-count="27" meta:word-count="56" meta:character-count="378" meta:non-whitespace-character-count="34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723689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723689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