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67" text:style-name="Internet_20_link" text:visited-style-name="Visited_20_Internet_20_Link">
              <text:span text:style-name="ListLabel_20_28">
                <text:span text:style-name="T8">1 Begrotingswijzigingen 2e kwartaal 2020 VGR II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67"/>
        Begrotingswijzigingen 2e kwartaal 2020 VGR II
        <text:bookmark-end text:name="120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07-10-2020 10:52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2e kwartaal 2020 VGR II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2e-kwartaal-2020-VGR-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Begrotingswijzigingen 2e kwartaal 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egrotingswijzigingen-2e-kwartaa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56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