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2" w:history="1">
        <w:r>
          <w:rPr>
            <w:rFonts w:ascii="Arial" w:hAnsi="Arial" w:eastAsia="Arial" w:cs="Arial"/>
            <w:color w:val="155CAA"/>
            <w:u w:val="single"/>
          </w:rPr>
          <w:t xml:space="preserve">1 Belastingtarieven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2"/>
      <w:r w:rsidRPr="00A448AC">
        <w:rPr>
          <w:rFonts w:ascii="Arial" w:hAnsi="Arial" w:cs="Arial"/>
          <w:b/>
          <w:bCs/>
          <w:color w:val="303F4C"/>
          <w:lang w:val="en-US"/>
        </w:rPr>
        <w:t>Belastingtarieven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Belastingtarieven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lastingtarieven-2015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