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03" text:style-name="Internet_20_link" text:visited-style-name="Visited_20_Internet_20_Link">
              <text:span text:style-name="ListLabel_20_28">
                <text:span text:style-name="T8">1 Belastingtarieven 2020 (320794-2019)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03"/>
        Belastingtarieven 2020 (320794-2019)
        <text:bookmark-end text:name="111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17-10-2019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op de heffing en invordering van brug- en havengeld 2020 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ordening-op-de-heffing-en-invordering-van-brug-en-havengeld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op de heffing en invordering van hondenbelasting 2020 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64,25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ordening-op-de-heffing-en-invordering-van-hondenbelasting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Verordening op de heffing en invordering van marktgelden 2020 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ordening-op-de-heffing-en-invordering-van-marktgelden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Verordening op de heffing en invordering van onroerende-zaakbelastingen 2020 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66,16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ordening-op-de-heffing-en-invordering-van-onroerende-zaakbelastingen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Verordening op de heffing en invordering van parkeerbelastingen 2020 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ordening-op-de-heffing-en-invordering-van-parkeerbelastingen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Verordening op de heffing en invordering van precariobelasting 2020 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ordening-op-de-heffing-en-invordering-van-precariobelasting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Verordening op de heffing en invordering van rioolheffing 2020 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ordening-op-de-heffing-en-invordering-van-rioolheffing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Verordening op de heffing en invordering van roerende-zaakbelastingen 2020 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ordening-op-de-heffing-en-invordering-van-roerende-zaakbelastingen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Belastingtarieven 2020 (320794-2019).pdf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lastingtarieven-2020-320794-201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77" meta:character-count="1178" meta:non-whitespace-character-count="10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