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93" w:history="1">
        <w:r>
          <w:rPr>
            <w:rFonts w:ascii="Arial" w:hAnsi="Arial" w:eastAsia="Arial" w:cs="Arial"/>
            <w:color w:val="155CAA"/>
            <w:u w:val="single"/>
          </w:rPr>
          <w:t xml:space="preserve">1 Beleidskader participatie 2025 en Participatieverordening gemeente Groningen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93"/>
      <w:r w:rsidRPr="00A448AC">
        <w:rPr>
          <w:rFonts w:ascii="Arial" w:hAnsi="Arial" w:cs="Arial"/>
          <w:b/>
          <w:bCs/>
          <w:color w:val="303F4C"/>
          <w:lang w:val="en-US"/>
        </w:rPr>
        <w:t>Beleidskader participatie 2025 en Participatieverordening gemeente Groningen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 09:54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participatie 2025 en Participatieverordening gemeente Groningen 2025 versie 24-4-2025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Beleidskade participatie 2025, Samen maken we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Participatieverordening Gemeente Groningen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Eindverslag Participatie en inspraakreacties -versie 28-4 (aanpassingen vetgedrukt)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leidskader-participatie-2025-en-Participatieverordening-gemeente-Groningen-2025-versie-24-4-2025.pdf" TargetMode="External" /><Relationship Id="rId25" Type="http://schemas.openxmlformats.org/officeDocument/2006/relationships/hyperlink" Target="https://gemeenteraad.groningen.nl//Documenten/Bijlage-1-Beleidskade-participatie-2025-Samen-maken-we-Groningen.pdf" TargetMode="External" /><Relationship Id="rId26" Type="http://schemas.openxmlformats.org/officeDocument/2006/relationships/hyperlink" Target="https://gemeenteraad.groningen.nl//Documenten/Bijlage-2-Participatieverordening-Gemeente-Groningen-2025.pdf" TargetMode="External" /><Relationship Id="rId27" Type="http://schemas.openxmlformats.org/officeDocument/2006/relationships/hyperlink" Target="https://gemeenteraad.groningen.nl//Documenten/Bijlage-3-Eindverslag-Participatie-en-inspraakreacties-versie-28-4-aanpassingen-vetgedruk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