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06:44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1020" text:style-name="Internet_20_link" text:visited-style-name="Visited_20_Internet_20_Link">
              <text:span text:style-name="ListLabel_20_28">
                <text:span text:style-name="T8">1 Bestuursovereenkomst Nationaal Programma Groningen (33508-2019)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20"/>
        Bestuursovereenkomst Nationaal Programma Groningen (33508-2019)
        <text:bookmark-end text:name="110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14-03-2019 13:12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Bestuursovereenkomst Nationaal Programma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212,16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Bestuursovereenkomst-Nationaal-Programma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Een programma dat groeit.pdf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486,00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Een-programma-dat-groei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Bestuursovereenkomst Nationaal Programma Groningen (33508-2019).pdf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14-03-2019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346,15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estuursovereenkomst-Nationaal-Programma-Groningen-33508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5" meta:character-count="597" meta:non-whitespace-character-count="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