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83" text:style-name="Internet_20_link" text:visited-style-name="Visited_20_Internet_20_Link">
              <text:span text:style-name="ListLabel_20_28">
                <text:span text:style-name="T8">1 Centrumregeling Veilig Thuis Groningen (VTG) verdeelsleutel en indexering DUVO middelen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83"/>
        Centrumregeling Veilig Thuis Groningen (VTG) verdeelsleutel en indexering DUVO middelen
        <text:bookmark-end text:name="134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10-05-2023 10:40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Centrumregeling Veilig Thuis Groningen (VTG) verdeelsleutel en indexering DUVO middelen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entrumregeling-Veilig-Thuis-Groningen-VTG-verdeelsleutel-en-indexering-DUVO-midd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tekst Centrumregeling VTG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tekst-Centrumregeling-VT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Toelichting Centrumregeling VTG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Toelichting-Centrumregeling-VT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voorstel verdeelsleutel VTG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415,43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oorstel-verdeelsleutel-VT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VTG effect index 2023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TG-effect-index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Overzicht wettelijke en bovenwettelijke taken uit te voeren door VTG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Overzicht-wettelijke-en-bovenwettelijke-taken-uit-te-voeren-door-VT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1" meta:character-count="881" meta:non-whitespace-character-count="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