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8" w:history="1">
        <w:r>
          <w:rPr>
            <w:rFonts w:ascii="Arial" w:hAnsi="Arial" w:eastAsia="Arial" w:cs="Arial"/>
            <w:color w:val="155CAA"/>
            <w:u w:val="single"/>
          </w:rPr>
          <w:t xml:space="preserve">1 Centrumregeling Veilig Thuis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8"/>
      <w:r w:rsidRPr="00A448AC">
        <w:rPr>
          <w:rFonts w:ascii="Arial" w:hAnsi="Arial" w:cs="Arial"/>
          <w:b/>
          <w:bCs/>
          <w:color w:val="303F4C"/>
          <w:lang w:val="en-US"/>
        </w:rPr>
        <w:t>Centrumregeling Veilig Thuis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Centrumregeling Veilig Thuis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tekst Centrumregeling VTG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Centrumregeling VTG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wettelijke en bovenwettelijke taken uit te voeren door VTG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Centrumregeling-Veilig-Thuis-Groningen.pdf" TargetMode="External" /><Relationship Id="rId25" Type="http://schemas.openxmlformats.org/officeDocument/2006/relationships/hyperlink" Target="https://gemeenteraad.groningen.nl//Documenten/Bijlage/Bijlage-1-tekst-Centrumregeling-VTG-2.pdf" TargetMode="External" /><Relationship Id="rId26" Type="http://schemas.openxmlformats.org/officeDocument/2006/relationships/hyperlink" Target="https://gemeenteraad.groningen.nl//Documenten/Bijlage/Bijlage-2-Toelichting-Centrumregeling-VTG-2.pdf" TargetMode="External" /><Relationship Id="rId27" Type="http://schemas.openxmlformats.org/officeDocument/2006/relationships/hyperlink" Target="https://gemeenteraad.groningen.nl//Documenten/Bijlage/Bijlage-3-Overzicht-wettelijke-en-bovenwettelijke-taken-uit-te-voeren-door-VT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