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58" w:history="1">
        <w:r>
          <w:rPr>
            <w:rFonts w:ascii="Arial" w:hAnsi="Arial" w:eastAsia="Arial" w:cs="Arial"/>
            <w:color w:val="155CAA"/>
            <w:u w:val="single"/>
          </w:rPr>
          <w:t xml:space="preserve">1 (Co)Investeringsfonds Sportaccommodaties en Mulieronderzoek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58"/>
      <w:r w:rsidRPr="00A448AC">
        <w:rPr>
          <w:rFonts w:ascii="Arial" w:hAnsi="Arial" w:cs="Arial"/>
          <w:b/>
          <w:bCs/>
          <w:color w:val="303F4C"/>
          <w:lang w:val="en-US"/>
        </w:rPr>
        <w:t>(Co)Investeringsfonds Sportaccommodaties en Mulieronderzoek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(Co)Investeringsfonds Sportaccommodaties en Mulieronderzoek.pdf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-Investeringsfonds-Sportaccommodaties-en-Mulieronderzoek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