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22" w:history="1">
        <w:r>
          <w:rPr>
            <w:rFonts w:ascii="Arial" w:hAnsi="Arial" w:eastAsia="Arial" w:cs="Arial"/>
            <w:color w:val="155CAA"/>
            <w:u w:val="single"/>
          </w:rPr>
          <w:t xml:space="preserve">1 Commissie werkwijze 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22"/>
      <w:r w:rsidRPr="00A448AC">
        <w:rPr>
          <w:rFonts w:ascii="Arial" w:hAnsi="Arial" w:cs="Arial"/>
          <w:b/>
          <w:bCs/>
          <w:color w:val="303F4C"/>
          <w:lang w:val="en-US"/>
        </w:rPr>
        <w:t>Commissie werkwijze 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werkwijze 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mmissie-werkwijze-Raa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