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23:01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839" text:style-name="Internet_20_link" text:visited-style-name="Visited_20_Internet_20_Link">
              <text:span text:style-name="ListLabel_20_28">
                <text:span text:style-name="T8">1 Correctie Verordening precariobelasting 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839"/>
        Correctie Verordening precariobelasting 2024
        <text:bookmark-end text:name="1383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29-11-2023 14:23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Correctie Verordening precariobelasting 2024
              <text:span text:style-name="T3"/>
            </text:p>
            <text:p text:style-name="P7"/>
          </table:table-cell>
          <table:table-cell table:style-name="Table4.A2" office:value-type="string">
            <text:p text:style-name="P8">29-11-2023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107,15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Correctie-Verordening-precariobelasting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de Verordening tot wijziging van de Verordening precariobelasting 2024
              <text:span text:style-name="T3"/>
            </text:p>
            <text:p text:style-name="P7"/>
          </table:table-cell>
          <table:table-cell table:style-name="Table4.A2" office:value-type="string">
            <text:p text:style-name="P8">29-11-2023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90,27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de-Verordening-tot-wijziging-van-de-Verordening-precariobelasting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6" meta:character-count="484" meta:non-whitespace-character-count="4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791643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791643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