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2" w:history="1">
        <w:r>
          <w:rPr>
            <w:rFonts w:ascii="Arial" w:hAnsi="Arial" w:eastAsia="Arial" w:cs="Arial"/>
            <w:color w:val="155CAA"/>
            <w:u w:val="single"/>
          </w:rPr>
          <w:t xml:space="preserve">1 Definitief ontwerp Busknooppunt UMCG 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2"/>
      <w:r w:rsidRPr="00A448AC">
        <w:rPr>
          <w:rFonts w:ascii="Arial" w:hAnsi="Arial" w:cs="Arial"/>
          <w:b/>
          <w:bCs/>
          <w:color w:val="303F4C"/>
          <w:lang w:val="en-US"/>
        </w:rPr>
        <w:t>Definitief ontwerp Busknooppunt UMCG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Busknooppunt UMCG Noord.pdf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finitief-ontwerp-Busknooppunt-UMCG-Noor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