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6" w:history="1">
        <w:r>
          <w:rPr>
            <w:rFonts w:ascii="Arial" w:hAnsi="Arial" w:eastAsia="Arial" w:cs="Arial"/>
            <w:color w:val="155CAA"/>
            <w:u w:val="single"/>
          </w:rPr>
          <w:t xml:space="preserve">1 Economische Agenda 2023-2026 - Met energie naar de toekomst voor een groene en eerlijke economie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6"/>
      <w:r w:rsidRPr="00A448AC">
        <w:rPr>
          <w:rFonts w:ascii="Arial" w:hAnsi="Arial" w:cs="Arial"/>
          <w:b/>
          <w:bCs/>
          <w:color w:val="303F4C"/>
          <w:lang w:val="en-US"/>
        </w:rPr>
        <w:t>Economische Agenda 2023-2026 - Met energie naar de toekomst voor een groene en eerlijke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Agenda 2023-2026 - Met energie naar de toekomst voor een groene en eerlijke economie (gewijzigd 8-3-23)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Economische agenda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conomische-Agenda-2023-2026-Met-energie-naar-de-toekomst-voor-een-groene-en-eerlijke-economie-gewijzigd-8-3-23.pdf" TargetMode="External" /><Relationship Id="rId25" Type="http://schemas.openxmlformats.org/officeDocument/2006/relationships/hyperlink" Target="https://gemeenteraad.groningen.nl//Documenten/Bijlage/Bijlage-Economische-agenda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