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38" text:style-name="Internet_20_link" text:visited-style-name="Visited_20_Internet_20_Link">
              <text:span text:style-name="ListLabel_20_28">
                <text:span text:style-name="T8">1 Eenmalige bijdrage aan het RHC Groninger Archieven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38"/>
        Eenmalige bijdrage aan het RHC Groninger Archieven
        <text:bookmark-end text:name="133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15-02-2023 15:27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Eenmalige bijdrage aan het RHC Groninger Archieven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271,00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Eenmalige-bijdrage-aan-het-RHC-Groninger-Arch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Begrotingswijziging Groninger Archieven
              <text:span text:style-name="T3"/>
            </text:p>
            <text:p text:style-name="P7"/>
          </table:table-cell>
          <table:table-cell table:style-name="Table4.A2" office:value-type="string">
            <text:p text:style-name="P8">15-02-2023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egrotingswijziging-Groninger-Archi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471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