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8" w:history="1">
        <w:r>
          <w:rPr>
            <w:rFonts w:ascii="Arial" w:hAnsi="Arial" w:eastAsia="Arial" w:cs="Arial"/>
            <w:color w:val="155CAA"/>
            <w:u w:val="single"/>
          </w:rPr>
          <w:t xml:space="preserve">1 Evaluatie fusie KCG en Muziekschool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8"/>
      <w:r w:rsidRPr="00A448AC">
        <w:rPr>
          <w:rFonts w:ascii="Arial" w:hAnsi="Arial" w:cs="Arial"/>
          <w:b/>
          <w:bCs/>
          <w:color w:val="303F4C"/>
          <w:lang w:val="en-US"/>
        </w:rPr>
        <w:t>Evaluatie fusie KCG en Muziekschool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fusie KCG en Muziekschool.pdf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Evaluatie-fusie-KCG-en-Muziekschool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