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3" w:history="1">
        <w:r>
          <w:rPr>
            <w:rFonts w:ascii="Arial" w:hAnsi="Arial" w:eastAsia="Arial" w:cs="Arial"/>
            <w:color w:val="155CAA"/>
            <w:u w:val="single"/>
          </w:rPr>
          <w:t xml:space="preserve">1 Fietsstrategie Groningen 2015-2025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3"/>
      <w:r w:rsidRPr="00A448AC">
        <w:rPr>
          <w:rFonts w:ascii="Arial" w:hAnsi="Arial" w:cs="Arial"/>
          <w:b/>
          <w:bCs/>
          <w:color w:val="303F4C"/>
          <w:lang w:val="en-US"/>
        </w:rPr>
        <w:t>Fietsstrategie Groningen 2015-2025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Fietsstrategie Groningen 2015-2025.pdf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Fietsstrategie-Groningen-2015-202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