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91" text:style-name="Internet_20_link" text:visited-style-name="Visited_20_Internet_20_Link">
              <text:span text:style-name="ListLabel_20_28">
                <text:span text:style-name="T8">1 Gebiedsdifferentiatie logiesbelasting.pdf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91"/>
        Gebiedsdifferentiatie logiesbelasting.pdf
        <text:bookmark-end text:name="121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18-12-2020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Gebiedsdifferentiatie logiesbelasting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biedsdifferentiatie-logies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tot wijziging van de verordening logiesbelasting (gewijzigde versie)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ordening-tot-wijziging-van-de-verordening-logiesbelas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73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