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14" w:history="1">
        <w:r>
          <w:rPr>
            <w:rFonts w:ascii="Arial" w:hAnsi="Arial" w:eastAsia="Arial" w:cs="Arial"/>
            <w:color w:val="155CAA"/>
            <w:u w:val="single"/>
          </w:rPr>
          <w:t xml:space="preserve">1 Geluidsanering gevels Hoendiepskade 2 tm 32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14"/>
      <w:r w:rsidRPr="00A448AC">
        <w:rPr>
          <w:rFonts w:ascii="Arial" w:hAnsi="Arial" w:cs="Arial"/>
          <w:b/>
          <w:bCs/>
          <w:color w:val="303F4C"/>
          <w:lang w:val="en-US"/>
        </w:rPr>
        <w:t>Geluidsanering gevels Hoendiepskade 2 tm 32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Geluidsanering gevels Hoendiepskade 2 tm 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eluidsanering-gevels-Hoendiepskade-2-tm-3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