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1" w:history="1">
        <w:r>
          <w:rPr>
            <w:rFonts w:ascii="Arial" w:hAnsi="Arial" w:eastAsia="Arial" w:cs="Arial"/>
            <w:color w:val="155CAA"/>
            <w:u w:val="single"/>
          </w:rPr>
          <w:t xml:space="preserve">1 Grondexploitaties Bessemoerstrook  corporatieve herstructurering Paddepoel Zuidoost  grijs groen en Paddepoel Zuidoost, inbreng en uitname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1"/>
      <w:r w:rsidRPr="00A448AC">
        <w:rPr>
          <w:rFonts w:ascii="Arial" w:hAnsi="Arial" w:cs="Arial"/>
          <w:b/>
          <w:bCs/>
          <w:color w:val="303F4C"/>
          <w:lang w:val="en-US"/>
        </w:rPr>
        <w:t>Grondexploitaties Bessemoerstrook  corporatieve herstructurering Paddepoel Zuidoost  grijs groen en Paddepoel Zuidoost, inbreng en uitname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Grondexploitaties Bessemoerstrook  corporatieve herstructurering Paddepoel Zuidoost  grijs groen en Paddepoel Zuidoost, inbreng en uitname.pdf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Grondexploitaties-Bessemoerstrook-corporatieve-herstructurering-Paddepoel-Zuidoost-grijs-groen-en-Paddepoel-Zuidoost-inbreng-en-uitnam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