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29" w:history="1">
        <w:r>
          <w:rPr>
            <w:rFonts w:ascii="Arial" w:hAnsi="Arial" w:eastAsia="Arial" w:cs="Arial"/>
            <w:color w:val="155CAA"/>
            <w:u w:val="single"/>
          </w:rPr>
          <w:t xml:space="preserve">1 Harmonisatie re-integratieverordening Participatiewet 2020 en Verordening loonkostensubsidie Participatiewet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29"/>
      <w:r w:rsidRPr="00A448AC">
        <w:rPr>
          <w:rFonts w:ascii="Arial" w:hAnsi="Arial" w:cs="Arial"/>
          <w:b/>
          <w:bCs/>
          <w:color w:val="303F4C"/>
          <w:lang w:val="en-US"/>
        </w:rPr>
        <w:t>Harmonisatie re-integratieverordening Participatiewet 2020 en Verordening loonkostensubsidie Participatiewet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re-integratieverordening Participatiewet 2020 en Verordening loonkostensubsidie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loonkostensubsidie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Re-integratieverordening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over invoering ‘Schakelkans’ als re-integratie-instrument - Cliëntenraad Werk &amp;amp;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armonisatie-re-integratieverordening-Participatiewet-2020-en-Verordening-loonkostensubsidie-Participatiewet-2020.pdf" TargetMode="External" /><Relationship Id="rId25" Type="http://schemas.openxmlformats.org/officeDocument/2006/relationships/hyperlink" Target="https://gemeenteraad.groningen.nl//Documenten/Bijlage/Bijlage-1-Verordening-loonkostensubsidie-participatiewet-2020.pdf" TargetMode="External" /><Relationship Id="rId26" Type="http://schemas.openxmlformats.org/officeDocument/2006/relationships/hyperlink" Target="https://gemeenteraad.groningen.nl//Documenten/Bijlage/Bijlage-2-Re-integratieverordening-Participatiewet-2020.pdf" TargetMode="External" /><Relationship Id="rId27" Type="http://schemas.openxmlformats.org/officeDocument/2006/relationships/hyperlink" Target="https://gemeenteraad.groningen.nl//Documenten/Bijlage/Bijlage-3-Advies-over-invoering-Schakelkans-als-re-integratie-instrument-Clientenraad-Werk-Ink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