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06" w:history="1">
        <w:r>
          <w:rPr>
            <w:rFonts w:ascii="Arial" w:hAnsi="Arial" w:eastAsia="Arial" w:cs="Arial"/>
            <w:color w:val="155CAA"/>
            <w:u w:val="single"/>
          </w:rPr>
          <w:t xml:space="preserve">1 Instellen Gemeenschappelijke Regeling ter bevordering van de democratische verankering van raden en staten bij de implementatie en uitvoering van Nij Begun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06"/>
      <w:r w:rsidRPr="00A448AC">
        <w:rPr>
          <w:rFonts w:ascii="Arial" w:hAnsi="Arial" w:cs="Arial"/>
          <w:b/>
          <w:bCs/>
          <w:color w:val="303F4C"/>
          <w:lang w:val="en-US"/>
        </w:rPr>
        <w:t>Instellen Gemeenschappelijke Regeling ter bevordering van de democratische verankering van raden en staten bij de implementatie en uitvoering van Nij Begun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Gemeenschappelijke Regeling ter bevordering van de democratische verankering van raden en staten bij de implementatie en uitvoering van Nij Begun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stellen-Gemeenschappelijke-Regeling-ter-bevordering-van-de-democratische-verankering-van-raden-en-staten-bij-de-implementatie-en-uitvoering-van-Nij-Begu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