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49" text:style-name="Internet_20_link" text:visited-style-name="Visited_20_Internet_20_Link">
              <text:span text:style-name="ListLabel_20_28">
                <text:span text:style-name="T8">1 Instemming meerjarenprogramma Aardbevingsbestendig en Kansrijk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49"/>
        Instemming meerjarenprogramma Aardbevingsbestendig en Kansrijk Groningen
        <text:bookmark-end text:name="6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concept meerjarenprogramma Aardbevingsbestendig en Kansrijk Groningen 2016-2020.pdf
              <text:span text:style-name="T3"/>
            </text:p>
            <text:p text:style-name="P7"/>
          </table:table-cell>
          <table:table-cell table:style-name="Table4.A2" office:value-type="string">
            <text:p text:style-name="P8">15-01-2016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concept-meerjarenprogramma-Aardbevingsbestendig-en-Kansrijk-Groningen-2016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Instemming meerjarenprogramma Aardbevingsbestendig en Kansrijk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15-01-2016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stemming-meerjarenprogramma-Aardbevingsbestendig-en-Kansrijk-Groningen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84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