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92" w:history="1">
        <w:r>
          <w:rPr>
            <w:rFonts w:ascii="Arial" w:hAnsi="Arial" w:eastAsia="Arial" w:cs="Arial"/>
            <w:color w:val="155CAA"/>
            <w:u w:val="single"/>
          </w:rPr>
          <w:t xml:space="preserve">1 Intrekken Verordening onkostenvergoedingen wethouders 2006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92"/>
      <w:r w:rsidRPr="00A448AC">
        <w:rPr>
          <w:rFonts w:ascii="Arial" w:hAnsi="Arial" w:cs="Arial"/>
          <w:b/>
          <w:bCs/>
          <w:color w:val="303F4C"/>
          <w:lang w:val="en-US"/>
        </w:rPr>
        <w:t>Intrekken Verordening onkostenvergoedingen wethouders 2006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 13:48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Verordening onkostenvergoedingen wethouders 2006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trekken-Verordening-onkostenvergoedingen-wethouders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