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" w:history="1">
        <w:r>
          <w:rPr>
            <w:rFonts w:ascii="Arial" w:hAnsi="Arial" w:eastAsia="Arial" w:cs="Arial"/>
            <w:color w:val="155CAA"/>
            <w:u w:val="single"/>
          </w:rPr>
          <w:t xml:space="preserve">1 Investeringsregeling Sport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"/>
      <w:r w:rsidRPr="00A448AC">
        <w:rPr>
          <w:rFonts w:ascii="Arial" w:hAnsi="Arial" w:cs="Arial"/>
          <w:b/>
          <w:bCs/>
          <w:color w:val="303F4C"/>
          <w:lang w:val="en-US"/>
        </w:rPr>
        <w:t>Investeringsregeling Sport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Investeringsregeling Sport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vesteringsregeling-Sport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