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17:39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291" text:style-name="Internet_20_link" text:visited-style-name="Visited_20_Internet_20_Link">
              <text:span text:style-name="ListLabel_20_28">
                <text:span text:style-name="T8">1 Invoering derde tariefzone voor kort parkeren op straat en aanpassing reguleringstijden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291"/>
        Invoering derde tariefzone voor kort parkeren op straat en aanpassing reguleringstijden
        <text:bookmark-end text:name="529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23-04-2015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Invoering derde tariefzone voor kort parkeren op straat en aanpassing reguleringstijden.pdf
              <text:span text:style-name="T3"/>
            </text:p>
            <text:p text:style-name="P7"/>
          </table:table-cell>
          <table:table-cell table:style-name="Table4.A2" office:value-type="string">
            <text:p text:style-name="P8">23-04-2015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363,91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Invoering-derde-tariefzone-voor-kort-parkeren-op-straat-en-aanpassing-reguleringstijden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1" meta:character-count="509" meta:non-whitespace-character-count="46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1919698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1919698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