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9" w:history="1">
        <w:r>
          <w:rPr>
            <w:rFonts w:ascii="Arial" w:hAnsi="Arial" w:eastAsia="Arial" w:cs="Arial"/>
            <w:color w:val="155CAA"/>
            <w:u w:val="single"/>
          </w:rPr>
          <w:t xml:space="preserve">1 Invoering maatschappelijke parkeervergunning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9"/>
      <w:r w:rsidRPr="00A448AC">
        <w:rPr>
          <w:rFonts w:ascii="Arial" w:hAnsi="Arial" w:cs="Arial"/>
          <w:b/>
          <w:bCs/>
          <w:color w:val="303F4C"/>
          <w:lang w:val="en-US"/>
        </w:rPr>
        <w:t>Invoering maatschappelijke parkeervergunning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Maatschappelijke parkeervergunning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op de heffing en invordering van parkeerbelastingen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voering-Maatschappelijke-parkeervergunning-rv.pdf" TargetMode="External" /><Relationship Id="rId25" Type="http://schemas.openxmlformats.org/officeDocument/2006/relationships/hyperlink" Target="https://gemeenteraad.groningen.nl//Documenten/Bijlage/Bijlage-Verordening-tot-wijziging-parkeerverordening.pdf" TargetMode="External" /><Relationship Id="rId26" Type="http://schemas.openxmlformats.org/officeDocument/2006/relationships/hyperlink" Target="https://gemeenteraad.groningen.nl//Documenten/Bijlage/Bijlage-Verordening-tot-wijziging-van-de-Verordening-op-de-heffing-en-invordering-van-parkeerbelas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