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" text:style-name="Internet_20_link" text:visited-style-name="Visited_20_Internet_20_Link">
              <text:span text:style-name="ListLabel_20_28">
                <text:span text:style-name="T8">1 Kadernota weerstandsvermogen en risicomanagement 2020 (75701-2020)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"/>
        Kadernota weerstandsvermogen en risicomanagement 2020 (75701-2020)
        <text:bookmark-end text:name="1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14-02-2020 10:24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Kadernota weerstandsvermogen en risicomanagement 2020 (75701-2020)
              <text:span text:style-name="T3"/>
            </text:p>
            <text:p text:style-name="P7"/>
          </table:table-cell>
          <table:table-cell table:style-name="Table4.A2" office:value-type="string">
            <text:p text:style-name="P8">14-02-2020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312,51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adernota-weerstandsvermogen-en-risicomanagement-2020-75701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Kadernota weerstandsvermogen en risicomanagement 2020
              <text:span text:style-name="T3"/>
            </text:p>
            <text:p text:style-name="P7"/>
          </table:table-cell>
          <table:table-cell table:style-name="Table4.A2" office:value-type="string">
            <text:p text:style-name="P8">14-02-2020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7,14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1-Kadernota-weerstandsvermogen-en-risicomanagement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Rapport Deloitte Analyse risicomethodiek weerstandsvermogen Grondbedrijf
              <text:span text:style-name="T3"/>
            </text:p>
            <text:p text:style-name="P7"/>
          </table:table-cell>
          <table:table-cell table:style-name="Table4.A2" office:value-type="string">
            <text:p text:style-name="P8">14-02-2020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690,98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2-Rapport-Deloitte-Analyse-risicomethodiek-weerstandsvermogen-Grondbedrij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3" meta:character-count="647" meta:non-whitespace-character-count="6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