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429" w:history="1">
        <w:r>
          <w:rPr>
            <w:rFonts w:ascii="Arial" w:hAnsi="Arial" w:eastAsia="Arial" w:cs="Arial"/>
            <w:color w:val="155CAA"/>
            <w:u w:val="single"/>
          </w:rPr>
          <w:t xml:space="preserve">1 Krediet openbare ruimte Treslinghuislocatie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429"/>
      <w:r w:rsidRPr="00A448AC">
        <w:rPr>
          <w:rFonts w:ascii="Arial" w:hAnsi="Arial" w:cs="Arial"/>
          <w:b/>
          <w:bCs/>
          <w:color w:val="303F4C"/>
          <w:lang w:val="en-US"/>
        </w:rPr>
        <w:t>Krediet openbare ruimte Treslinghuislocatie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 11:29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 openbare ruimte Treslinghuislocatie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krediet Treslinglokatie - (Geheimhouding opgeheven n.a.v. raadsbesluit 1-6-22)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Krediet-openbare-ruimte-Treslinghuislocatie.pdf" TargetMode="External" /><Relationship Id="rId25" Type="http://schemas.openxmlformats.org/officeDocument/2006/relationships/hyperlink" Target="https://gemeenteraad.groningen.nl//Documenten/Bijlage/Bijlage-krediet-Treslinglokatie-GEHEIM-EX-ART-25-Gemeentew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