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02:44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66" text:style-name="Internet_20_link" text:visited-style-name="Visited_20_Internet_20_Link">
              <text:span text:style-name="ListLabel_20_28">
                <text:span text:style-name="T8">
                  1 Kredietaanvraag HOV-maatregelen 
                  <text:s/>
                  netwerkanalyse Groningen - Assen (ambitieniveau 1 en 2 bus)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66"/>
        Kredietaanvraag HOV-maatregelen 
        <text:s/>
        netwerkanalyse Groningen - Assen (ambitieniveau 1 en 2 bus)
        <text:bookmark-end text:name="306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06-11-2013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Kredietaanvraag HOV-maatregelen 
              <text:s/>
              netwerkanalyse Groningen - Assen (ambitieniveau 1 en 2 bus).pdf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449,74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Kredietaanvraag-HOV-maatregelen-netwerkanalyse-Groningen-Assen-ambitieniveau-1-en-2-bus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1" meta:character-count="524" meta:non-whitespace-character-count="4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1412923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1412923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