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44" text:style-name="Internet_20_link" text:visited-style-name="Visited_20_Internet_20_Link">
              <text:span text:style-name="ListLabel_20_28">
                <text:span text:style-name="T8">1 Logiesbelasting (67592-2019)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44"/>
        Logiesbelasting (67592-2019)
        <text:bookmark-end text:name="110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15-05-2019 12:57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Verordening op de heffing en invordering van logiesbelasting.pdf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Verordening-op-de-heffing-en-invordering-van-logiesbelas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Logiesbelasting (67592-2019).pdf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Logiesbelasting-67592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34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